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document_image_rId1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pStyle w:val="t1"/>
        <w:snapToGrid w:val="false"/>
        <w:spacing w:lineRule="auto"/>
        <w:ind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游戏内部部分配置和资源替换说明</w:t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包配置文件及资源替换路径为 </w:t>
      </w:r>
      <w:r>
        <w:rPr>
          <w:rFonts w:ascii="宋体" w:hAnsi="宋体" w:eastAsia="宋体"/>
          <w:color w:val="FF0000"/>
          <w:sz w:val="24"/>
          <w:szCs w:val="24"/>
        </w:rPr>
        <w:t>包根目录/assets/Res</w:t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5760720" cy="1582817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替换的资源文件也放置在此文件夹下，并在配置文件中配置好相应的文件名即可。</w:t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其中PackConfig.txt为json配置文件，参数说明（_Readme.md）如下：</w:t>
      </w:r>
    </w:p>
    <w:p>
      <w:pPr>
        <w:snapToGrid w:val="false"/>
        <w:spacing w:before="0" w:after="0" w:line="240" w:lineRule="auto"/>
        <w:ind w:left="0" w:righ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包配置PackConfig.txt参数字段说明：</w:t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PackID			用于标识子包的唯一ID</w:t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UpdatePanelBG		更新界面背景（只支持png）</w:t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LoginPanelBG		登录界面背景（只支持png）</w:t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LoginPanelLogo		登录界面Logo（只支持png）</w:t>
      </w:r>
    </w:p>
    <w:p>
      <w:pPr>
        <w:snapToGrid w:val="false"/>
        <w:spacing w:before="60" w:after="60" w:line="293" w:lineRule="exact"/>
        <w:ind w:leftChars="20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LoginPanelVideoBG	登录界面视频背景（只支持mp4）</w:t>
      </w:r>
    </w:p>
    <w:p>
      <w:pPr>
        <w:snapToGrid w:val="false"/>
        <w:spacing w:before="0" w:after="0" w:line="293" w:lineRule="exact"/>
        <w:ind w:leftChars="200" w:right="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  <w:t>LoadingPanelBG		登录后游戏加载界面背景（只支持png，多个背景随机请用#号分割）</w:t>
      </w:r>
    </w:p>
    <w:p>
      <w:pPr>
        <w:snapToGrid w:val="false"/>
        <w:spacing w:before="0" w:after="0" w:line="240" w:lineRule="auto"/>
        <w:ind w:left="0" w:right="0"/>
        <w:jc w:val="left"/>
        <w:rPr>
          <w:rFonts w:ascii="黑体" w:hAnsi="黑体" w:eastAsia="黑体"/>
          <w:color w:val="333333"/>
          <w:sz w:val="20"/>
          <w:szCs w:val="20"/>
        </w:rPr>
      </w:pPr>
      <w:r>
        <w:rPr>
          <w:rFonts w:ascii="黑体" w:hAnsi="黑体" w:eastAsia="黑体"/>
          <w:color w:val="333333"/>
          <w:sz w:val="20"/>
          <w:szCs w:val="20"/>
        </w:rPr>
      </w:r>
    </w:p>
    <w:p>
      <w:pPr>
        <w:snapToGrid w:val="false"/>
        <w:spacing w:before="0" w:after="0" w:line="240" w:lineRule="auto"/>
        <w:ind w:left="0" w:right="0" w:firstLineChars="20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注：</w:t>
      </w:r>
    </w:p>
    <w:p>
      <w:pPr>
        <w:numPr>
          <w:ilvl w:val="0"/>
          <w:numId w:val="33"/>
        </w:numPr>
        <w:snapToGrid w:val="false"/>
        <w:spacing w:before="0" w:after="0" w:line="240" w:lineRule="auto"/>
        <w:ind w:leftChars="218" w:right="0" w:hangingChars="16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/>
        </w:rPr>
      </w:r>
      <w:r>
        <w:rPr>
          <w:rFonts w:ascii="黑体" w:hAnsi="黑体" w:eastAsia="黑体"/>
          <w:color w:val="ff0000"/>
          <w:sz w:val="24"/>
          <w:szCs w:val="24"/>
        </w:rPr>
        <w:t>视频背景的参数</w:t>
      </w:r>
      <w:r>
        <w:rPr>
          <w:rFonts w:hint="eastAsia"/>
        </w:rPr>
      </w:r>
      <w:r>
        <w:rPr>
          <w:rFonts w:ascii="黑体" w:hAnsi="黑体" w:eastAsia="黑体"/>
          <w:color w:val="000000"/>
          <w:sz w:val="24"/>
          <w:szCs w:val="24"/>
        </w:rPr>
        <w:t>目前是不生效的</w:t>
      </w:r>
    </w:p>
    <w:p>
      <w:pPr>
        <w:snapToGrid w:val="false"/>
        <w:spacing w:before="0" w:after="0" w:line="240" w:lineRule="auto"/>
        <w:ind w:leftChars="0" w:right="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 w:right="0" w:firstLineChars="20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2、PacklD的作用：</w:t>
      </w:r>
    </w:p>
    <w:p>
      <w:pPr>
        <w:snapToGrid w:val="false"/>
        <w:spacing w:before="0" w:after="0" w:line="240" w:lineRule="auto"/>
        <w:ind w:leftChars="200" w:right="0" w:firstLineChars="20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1&gt;定制用于</w:t>
      </w:r>
      <w:r>
        <w:rPr>
          <w:rFonts w:ascii="黑体" w:hAnsi="黑体" w:eastAsia="黑体"/>
          <w:color w:val="ff0000"/>
          <w:sz w:val="24"/>
          <w:szCs w:val="24"/>
        </w:rPr>
        <w:t>切换子包提审状态的ID</w:t>
      </w:r>
      <w:r>
        <w:rPr>
          <w:rFonts w:ascii="黑体" w:hAnsi="黑体" w:eastAsia="黑体"/>
          <w:color w:val="000000"/>
          <w:sz w:val="24"/>
          <w:szCs w:val="24"/>
        </w:rPr>
        <w:t>。配置后，子包用于</w:t>
      </w:r>
      <w:r>
        <w:rPr>
          <w:rFonts w:ascii="黑体" w:hAnsi="黑体" w:eastAsia="黑体"/>
          <w:color w:val="ff0000"/>
          <w:sz w:val="24"/>
          <w:szCs w:val="24"/>
        </w:rPr>
        <w:t>切换提审状态的ID</w:t>
      </w:r>
      <w:r>
        <w:rPr>
          <w:rFonts w:ascii="黑体" w:hAnsi="黑体" w:eastAsia="黑体"/>
          <w:color w:val="000000"/>
          <w:sz w:val="24"/>
          <w:szCs w:val="24"/>
        </w:rPr>
        <w:t>将变为</w:t>
      </w:r>
      <w:r>
        <w:rPr>
          <w:rFonts w:ascii="黑体" w:hAnsi="黑体" w:eastAsia="黑体"/>
          <w:color w:val="ff0000"/>
          <w:sz w:val="24"/>
          <w:szCs w:val="24"/>
        </w:rPr>
        <w:t>母包的渠道名（如：MHT）和PackID</w:t>
      </w:r>
      <w:r>
        <w:rPr>
          <w:rFonts w:ascii="黑体" w:hAnsi="黑体" w:eastAsia="黑体"/>
          <w:color w:val="ff0000"/>
          <w:sz w:val="24"/>
          <w:szCs w:val="24"/>
          <w:shd w:val="clear" w:fill="6cdeff"/>
        </w:rPr>
        <w:t>无分割符连接</w:t>
      </w:r>
      <w:r>
        <w:rPr>
          <w:rFonts w:ascii="黑体" w:hAnsi="黑体" w:eastAsia="黑体"/>
          <w:color w:val="ff0000"/>
          <w:sz w:val="24"/>
          <w:szCs w:val="24"/>
        </w:rPr>
        <w:t>的字符串</w:t>
      </w:r>
      <w:r>
        <w:rPr>
          <w:rFonts w:ascii="黑体" w:hAnsi="黑体" w:eastAsia="黑体"/>
          <w:color w:val="000000"/>
          <w:sz w:val="24"/>
          <w:szCs w:val="24"/>
        </w:rPr>
        <w:t>，同时需要在GM后台（GM管理-&gt;提审服管理）对该ID进行配置，并单独管理。</w:t>
      </w:r>
      <w:r>
        <w:rPr>
          <w:rFonts w:ascii="黑体" w:hAnsi="黑体" w:eastAsia="黑体"/>
          <w:color w:val="000000"/>
          <w:sz w:val="24"/>
          <w:szCs w:val="24"/>
        </w:rPr>
        <w:t>（例：如果渠道名为：MHT，PackID为：1001，则</w:t>
      </w:r>
      <w:r>
        <w:rPr>
          <w:rFonts w:ascii="黑体" w:hAnsi="黑体" w:eastAsia="黑体"/>
          <w:color w:val="ff0000"/>
          <w:sz w:val="24"/>
          <w:szCs w:val="24"/>
        </w:rPr>
        <w:t>切换提审状态的ID</w:t>
      </w:r>
      <w:r>
        <w:rPr>
          <w:rFonts w:ascii="黑体" w:hAnsi="黑体" w:eastAsia="黑体"/>
          <w:color w:val="000000"/>
          <w:sz w:val="24"/>
          <w:szCs w:val="24"/>
        </w:rPr>
        <w:t>为：MHT1001）</w:t>
      </w:r>
    </w:p>
    <w:p>
      <w:pPr>
        <w:snapToGrid w:val="false"/>
        <w:spacing w:before="0" w:after="0" w:line="240" w:lineRule="auto"/>
        <w:ind w:leftChars="200" w:right="0" w:firstLineChars="20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2&gt;定制用于</w:t>
      </w:r>
      <w:r>
        <w:rPr>
          <w:rFonts w:ascii="黑体" w:hAnsi="黑体" w:eastAsia="黑体"/>
          <w:color w:val="ff0000"/>
          <w:sz w:val="24"/>
          <w:szCs w:val="24"/>
        </w:rPr>
        <w:t>定制子包用户隐私协议的ID</w:t>
      </w:r>
      <w:r>
        <w:rPr>
          <w:rFonts w:ascii="黑体" w:hAnsi="黑体" w:eastAsia="黑体"/>
          <w:color w:val="000000"/>
          <w:sz w:val="24"/>
          <w:szCs w:val="24"/>
        </w:rPr>
        <w:t>。配置后，</w:t>
      </w:r>
      <w:r>
        <w:rPr>
          <w:rFonts w:ascii="黑体" w:hAnsi="黑体" w:eastAsia="黑体"/>
          <w:color w:val="ff0000"/>
          <w:sz w:val="24"/>
          <w:szCs w:val="24"/>
        </w:rPr>
        <w:t>子包用户隐私协议的ID</w:t>
      </w:r>
      <w:r>
        <w:rPr>
          <w:rFonts w:ascii="黑体" w:hAnsi="黑体" w:eastAsia="黑体"/>
          <w:color w:val="000000"/>
          <w:sz w:val="24"/>
          <w:szCs w:val="24"/>
        </w:rPr>
        <w:t>将变为</w:t>
      </w:r>
      <w:r>
        <w:rPr>
          <w:rFonts w:ascii="黑体" w:hAnsi="黑体" w:eastAsia="黑体"/>
          <w:color w:val="ff0000"/>
          <w:sz w:val="24"/>
          <w:szCs w:val="24"/>
        </w:rPr>
        <w:t>母包的渠道名（如：MHT）和PackID</w:t>
      </w:r>
      <w:r>
        <w:rPr>
          <w:rFonts w:ascii="黑体" w:hAnsi="黑体" w:eastAsia="黑体"/>
          <w:color w:val="ff0000"/>
          <w:sz w:val="24"/>
          <w:szCs w:val="24"/>
          <w:shd w:val="clear" w:fill="6cdeff"/>
        </w:rPr>
        <w:t>无分割符连接</w:t>
      </w:r>
      <w:r>
        <w:rPr>
          <w:rFonts w:ascii="黑体" w:hAnsi="黑体" w:eastAsia="黑体"/>
          <w:color w:val="ff0000"/>
          <w:sz w:val="24"/>
          <w:szCs w:val="24"/>
        </w:rPr>
        <w:t>的字符串</w:t>
      </w:r>
      <w:r>
        <w:rPr>
          <w:rFonts w:ascii="黑体" w:hAnsi="黑体" w:eastAsia="黑体"/>
          <w:color w:val="000000"/>
          <w:sz w:val="24"/>
          <w:szCs w:val="24"/>
        </w:rPr>
        <w:t>，同时需要在GM后台（GM管理-&gt;游戏协议管理）对该ID进行配置，并单独管理。（与</w:t>
      </w:r>
      <w:r>
        <w:rPr>
          <w:rFonts w:ascii="黑体" w:hAnsi="黑体" w:eastAsia="黑体"/>
          <w:color w:val="ff0000"/>
          <w:sz w:val="24"/>
          <w:szCs w:val="24"/>
        </w:rPr>
        <w:t>切换子包提审状态的ID</w:t>
      </w:r>
      <w:r>
        <w:rPr>
          <w:rFonts w:ascii="黑体" w:hAnsi="黑体" w:eastAsia="黑体"/>
          <w:color w:val="000000"/>
          <w:sz w:val="24"/>
          <w:szCs w:val="24"/>
        </w:rPr>
        <w:t>为相同的</w:t>
      </w:r>
      <w:r>
        <w:rPr>
          <w:rFonts w:ascii="黑体" w:hAnsi="黑体" w:eastAsia="黑体"/>
          <w:color w:val="000000"/>
          <w:sz w:val="24"/>
          <w:szCs w:val="24"/>
        </w:rPr>
        <w:t>值</w:t>
      </w:r>
      <w:r>
        <w:rPr>
          <w:rFonts w:ascii="黑体" w:hAnsi="黑体" w:eastAsia="黑体"/>
          <w:color w:val="000000"/>
          <w:sz w:val="24"/>
          <w:szCs w:val="24"/>
        </w:rPr>
        <w:t>）</w:t>
      </w:r>
    </w:p>
    <w:p>
      <w:pPr>
        <w:snapToGrid w:val="false"/>
        <w:spacing w:before="0" w:after="0" w:line="240" w:lineRule="auto"/>
        <w:ind w:leftChars="200" w:right="0" w:firstLineChars="200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3&gt;定制对来自相同母包的子包的公告内容。配置后，子包的</w:t>
      </w:r>
      <w:r>
        <w:rPr>
          <w:rFonts w:ascii="黑体" w:hAnsi="黑体" w:eastAsia="黑体"/>
          <w:color w:val="ff0000"/>
          <w:sz w:val="24"/>
          <w:szCs w:val="24"/>
        </w:rPr>
        <w:t>公告通道ID</w:t>
      </w:r>
      <w:r>
        <w:rPr>
          <w:rFonts w:ascii="黑体" w:hAnsi="黑体" w:eastAsia="黑体"/>
          <w:color w:val="000000"/>
          <w:sz w:val="24"/>
          <w:szCs w:val="24"/>
        </w:rPr>
        <w:t>将变为</w:t>
      </w:r>
      <w:r>
        <w:rPr>
          <w:rFonts w:ascii="黑体" w:hAnsi="黑体" w:eastAsia="黑体"/>
          <w:color w:val="ff0000"/>
          <w:sz w:val="24"/>
          <w:szCs w:val="24"/>
        </w:rPr>
        <w:t>母包的公告id和PackID</w:t>
      </w:r>
      <w:r>
        <w:rPr>
          <w:rFonts w:ascii="黑体" w:hAnsi="黑体" w:eastAsia="黑体"/>
          <w:color w:val="ff0000"/>
          <w:sz w:val="24"/>
          <w:szCs w:val="24"/>
          <w:shd w:val="clear" w:fill="6cdeff"/>
        </w:rPr>
        <w:t>无分割符连接</w:t>
      </w:r>
      <w:r>
        <w:rPr>
          <w:rFonts w:ascii="黑体" w:hAnsi="黑体" w:eastAsia="黑体"/>
          <w:color w:val="ff0000"/>
          <w:sz w:val="24"/>
          <w:szCs w:val="24"/>
        </w:rPr>
        <w:t>的字符串</w:t>
      </w:r>
      <w:r>
        <w:rPr>
          <w:rFonts w:ascii="黑体" w:hAnsi="黑体" w:eastAsia="黑体"/>
          <w:color w:val="000000"/>
          <w:sz w:val="24"/>
          <w:szCs w:val="24"/>
        </w:rPr>
        <w:t>，同时需要对子包的公告通道ID在GM后台（GM管理-&gt;频道管理）对该ID进行配置，并单独管理。（与</w:t>
      </w:r>
      <w:r>
        <w:rPr>
          <w:rFonts w:ascii="黑体" w:hAnsi="黑体" w:eastAsia="黑体"/>
          <w:color w:val="ff0000"/>
          <w:sz w:val="24"/>
          <w:szCs w:val="24"/>
        </w:rPr>
        <w:t>切换提审状态的ID</w:t>
      </w:r>
      <w:r>
        <w:rPr>
          <w:rFonts w:ascii="黑体" w:hAnsi="黑体" w:eastAsia="黑体"/>
          <w:color w:val="000000"/>
          <w:sz w:val="24"/>
          <w:szCs w:val="24"/>
        </w:rPr>
        <w:t>类似）</w:t>
      </w:r>
    </w:p>
    <w:p>
      <w:pPr>
        <w:snapToGrid w:val="false"/>
        <w:spacing w:before="0" w:after="0" w:line="240" w:lineRule="auto"/>
        <w:ind w:leftChars="200" w:right="0" w:firstLineChars="200"/>
        <w:jc w:val="left"/>
        <w:rPr>
          <w:rFonts w:ascii="黑体" w:hAnsi="黑体" w:eastAsia="黑体"/>
          <w:color w:val="FF0000"/>
          <w:sz w:val="24"/>
          <w:szCs w:val="24"/>
        </w:rPr>
      </w:pPr>
      <w:r>
        <w:rPr>
          <w:rFonts w:ascii="黑体" w:hAnsi="黑体" w:eastAsia="黑体"/>
          <w:color w:val="FF0000"/>
          <w:sz w:val="24"/>
          <w:szCs w:val="24"/>
        </w:rPr>
      </w:r>
    </w:p>
    <w:p>
      <w:pPr>
        <w:snapToGrid w:val="false"/>
        <w:spacing w:before="0" w:after="0" w:line="240" w:lineRule="auto"/>
        <w:ind w:left="0" w:right="0" w:firstLineChars="200"/>
        <w:jc w:val="left"/>
        <w:rPr>
          <w:rFonts w:ascii="黑体" w:hAnsi="黑体" w:eastAsia="黑体"/>
          <w:color w:val="FF0000"/>
          <w:sz w:val="22"/>
          <w:szCs w:val="22"/>
        </w:rPr>
      </w:pPr>
      <w:r>
        <w:rPr>
          <w:rFonts w:ascii="黑体" w:hAnsi="黑体" w:eastAsia="黑体"/>
          <w:color w:val="FF0000"/>
          <w:sz w:val="22"/>
          <w:szCs w:val="22"/>
        </w:rPr>
      </w:r>
    </w:p>
    <w:p>
      <w:pPr>
        <w:snapToGrid w:val="false"/>
        <w:spacing w:before="60" w:after="60" w:line="312" w:lineRule="auto"/>
        <w:ind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</w:r>
    </w:p>
    <w:sectPr w:rsidR="00C604EC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nhideWhenUsed="true" w:qFormat="true"/>
    <w:lsdException w:name="footer" w:unhideWhenUsed="true" w:qFormat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 w:qFormat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 w:qFormat="true"/>
    <w:lsdException w:name="Table Theme" w:semiHidden="true" w:unhideWhenUsed="true"/>
    <w:lsdException w:name="Placeholder Text" w:semiHidden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 w:customStyle="true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styleId="a4" w:customStyle="true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paragraph" w:styleId="t1">
    <w:name w:val="Title"/>
    <w:basedOn w:val="a"/>
    <w:next w:val="a"/>
    <w:uiPriority w:val="10"/>
    <w:qFormat/>
    <w:rsid w:val="001C768A"/>
    <w:pPr>
      <w:spacing w:before="0" w:after="0"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color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Relationship Target="media/document_image_rId11.png" Type="http://schemas.openxmlformats.org/officeDocument/2006/relationships/image" Id="rId11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